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</w:rPr>
        <mc:AlternateContent>
          <mc:Choice Requires="wpg">
            <w:drawing>
              <wp:inline distB="114300" distT="114300" distL="114300" distR="114300">
                <wp:extent cx="8534400" cy="862772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330200"/>
                          <a:ext cx="8534400" cy="862772"/>
                          <a:chOff x="0" y="330200"/>
                          <a:chExt cx="7620000" cy="1105750"/>
                        </a:xfrm>
                      </wpg:grpSpPr>
                      <wps:wsp>
                        <wps:cNvSpPr/>
                        <wps:cNvPr id="2" name="Shape 2"/>
                        <wps:spPr>
                          <a:xfrm>
                            <a:off x="2365175" y="334975"/>
                            <a:ext cx="2909700" cy="10962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3" name="Shape 3"/>
                        <wps:spPr>
                          <a:xfrm>
                            <a:off x="2725588" y="590575"/>
                            <a:ext cx="2233200" cy="58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Strengths - Opportunities Weaknesses - Threats</w:t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334975"/>
                            <a:ext cx="2172300" cy="10962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5444100" y="334975"/>
                            <a:ext cx="2175900" cy="1096200"/>
                          </a:xfrm>
                          <a:prstGeom prst="rightArrow">
                            <a:avLst>
                              <a:gd fmla="val 50000" name="adj1"/>
                              <a:gd fmla="val 50000" name="adj2"/>
                            </a:avLst>
                          </a:prstGeom>
                          <a:solidFill>
                            <a:srgbClr val="CCCCCC"/>
                          </a:solidFill>
                          <a:ln cap="flat" cmpd="sng"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 txBox="1"/>
                        <wps:cNvPr id="6" name="Shape 6"/>
                        <wps:spPr>
                          <a:xfrm>
                            <a:off x="66000" y="606025"/>
                            <a:ext cx="1959000" cy="8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Environmental &amp; Social Challenges &amp; Big Trends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  <wps:wsp>
                        <wps:cNvSpPr txBox="1"/>
                        <wps:cNvPr id="7" name="Shape 7"/>
                        <wps:spPr>
                          <a:xfrm>
                            <a:off x="5760600" y="606025"/>
                            <a:ext cx="1542900" cy="80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  <w:t xml:space="preserve">Prioritisation &amp; Action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1"/>
                                  <w:i w:val="0"/>
                                  <w:smallCaps w:val="0"/>
                                  <w:strike w:val="0"/>
                                  <w:color w:val="000000"/>
                                  <w:sz w:val="26"/>
                                  <w:vertAlign w:val="baseline"/>
                                </w:rPr>
                              </w:r>
                            </w:p>
                          </w:txbxContent>
                        </wps:txbx>
                        <wps:bodyPr anchorCtr="0" anchor="t" bIns="91425" lIns="91425" spcFirstLastPara="1" rIns="91425" wrap="square" tIns="91425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8534400" cy="862772"/>
                <wp:effectExtent b="0" l="0" r="0" t="0"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34400" cy="86277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230.0" w:type="dxa"/>
        <w:jc w:val="left"/>
        <w:tblInd w:w="3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3195"/>
        <w:gridCol w:w="2835"/>
        <w:gridCol w:w="3420"/>
        <w:tblGridChange w:id="0">
          <w:tblGrid>
            <w:gridCol w:w="3780"/>
            <w:gridCol w:w="3195"/>
            <w:gridCol w:w="2835"/>
            <w:gridCol w:w="3420"/>
          </w:tblGrid>
        </w:tblGridChange>
      </w:tblGrid>
      <w:tr>
        <w:trPr>
          <w:cantSplit w:val="0"/>
          <w:trHeight w:val="2914.9658203125" w:hRule="atLeast"/>
          <w:tblHeader w:val="0"/>
        </w:trPr>
        <w:tc>
          <w:tcPr>
            <w:tcBorders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76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Challenges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76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do you and others see changing? For example:</w:t>
            </w:r>
          </w:p>
          <w:p w:rsidR="00000000" w:rsidDel="00000000" w:rsidP="00000000" w:rsidRDefault="00000000" w:rsidRPr="00000000" w14:paraId="00000006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Natural resource scarcity</w:t>
            </w:r>
          </w:p>
          <w:p w:rsidR="00000000" w:rsidDel="00000000" w:rsidP="00000000" w:rsidRDefault="00000000" w:rsidRPr="00000000" w14:paraId="00000007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Water availability</w:t>
            </w:r>
          </w:p>
          <w:p w:rsidR="00000000" w:rsidDel="00000000" w:rsidP="00000000" w:rsidRDefault="00000000" w:rsidRPr="00000000" w14:paraId="00000008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Waste &amp; hazards</w:t>
            </w:r>
          </w:p>
          <w:p w:rsidR="00000000" w:rsidDel="00000000" w:rsidP="00000000" w:rsidRDefault="00000000" w:rsidRPr="00000000" w14:paraId="00000009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Global warming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Climate variability and extremes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80000"/>
                <w:sz w:val="34"/>
                <w:szCs w:val="34"/>
                <w:rtl w:val="0"/>
              </w:rPr>
              <w:t xml:space="preserve">S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   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Strengths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How can our strengths address environmental challenges?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Start with traditional list of your companies’ strengths, extend the list to the partners in your value chain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Consider core &amp; transferable strengths (i.e. R&amp;D, Eng.)</w:t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98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980000"/>
                <w:sz w:val="34"/>
                <w:szCs w:val="34"/>
                <w:rtl w:val="0"/>
              </w:rPr>
              <w:t xml:space="preserve">W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  </w:t>
            </w:r>
            <w:r w:rsidDel="00000000" w:rsidR="00000000" w:rsidRPr="00000000">
              <w:rPr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Weaknesses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after="4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Who has similar weaknesses or faces similar risks?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Start with risks resulting from environmental challenges impacting markets (e.g. operations, regulation, commodity prices)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Include partners in list</w:t>
            </w:r>
            <w:r w:rsidDel="00000000" w:rsidR="00000000" w:rsidRPr="00000000">
              <w:rPr>
                <w:b w:val="1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Prioritise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Which insights will influence senior company stakeholders most? 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Prioritise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according to company vision and strategy </w:t>
            </w:r>
          </w:p>
          <w:p w:rsidR="00000000" w:rsidDel="00000000" w:rsidP="00000000" w:rsidRDefault="00000000" w:rsidRPr="00000000" w14:paraId="0000001A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Identify strong messengers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Emphasise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findings that would resonate with CEO and senior management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76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Trends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are the sustainability relevant big trends? For example:</w:t>
            </w:r>
          </w:p>
          <w:p w:rsidR="00000000" w:rsidDel="00000000" w:rsidP="00000000" w:rsidRDefault="00000000" w:rsidRPr="00000000" w14:paraId="0000001F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Innovation &amp; technology advances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Demographic &amp; social shifts</w:t>
            </w:r>
          </w:p>
          <w:p w:rsidR="00000000" w:rsidDel="00000000" w:rsidP="00000000" w:rsidRDefault="00000000" w:rsidRPr="00000000" w14:paraId="00000021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Global economic dynamics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Political &amp; regulatory requirements</w:t>
            </w:r>
          </w:p>
          <w:p w:rsidR="00000000" w:rsidDel="00000000" w:rsidP="00000000" w:rsidRDefault="00000000" w:rsidRPr="00000000" w14:paraId="00000023">
            <w:pPr>
              <w:widowControl w:val="0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980000"/>
                <w:sz w:val="34"/>
                <w:szCs w:val="34"/>
                <w:rtl w:val="0"/>
              </w:rPr>
              <w:t xml:space="preserve"> O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 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Opportunities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Look at threats that currently are not addressed, and how you can address these threats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Consider the business value that can be created with new products, services and business practices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76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color w:val="980000"/>
                <w:sz w:val="34"/>
                <w:szCs w:val="34"/>
                <w:rtl w:val="0"/>
              </w:rPr>
              <w:t xml:space="preserve"> T</w:t>
            </w:r>
            <w:r w:rsidDel="00000000" w:rsidR="00000000" w:rsidRPr="00000000">
              <w:rPr>
                <w:b w:val="1"/>
                <w:sz w:val="34"/>
                <w:szCs w:val="3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      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Threats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76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Where are environmental challenges threatening future business value?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Consider both direct threats as well as threats to partners in the value chain 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Identify opportunities for joint action</w:t>
            </w:r>
          </w:p>
        </w:tc>
        <w:tc>
          <w:tcPr>
            <w:tcBorders>
              <w:left w:color="000000" w:space="0" w:sz="1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76" w:lineRule="auto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Act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What can be a short/mid/long term strategy?</w:t>
            </w:r>
          </w:p>
          <w:p w:rsidR="00000000" w:rsidDel="00000000" w:rsidP="00000000" w:rsidRDefault="00000000" w:rsidRPr="00000000" w14:paraId="00000032">
            <w:pPr>
              <w:widowControl w:val="0"/>
              <w:spacing w:after="40" w:line="276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Categorise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generated insights according to where and when you can act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• If needed, consider gathering more insights before planning action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pacing w:line="276" w:lineRule="auto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b w:val="1"/>
          <w:sz w:val="12"/>
          <w:szCs w:val="1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76" w:lineRule="auto"/>
        <w:ind w:left="0" w:firstLine="0"/>
        <w:rPr>
          <w:rFonts w:ascii="Arial" w:cs="Arial" w:eastAsia="Arial" w:hAnsi="Arial"/>
          <w:i w:val="1"/>
          <w:sz w:val="12"/>
          <w:szCs w:val="12"/>
        </w:rPr>
      </w:pP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         sSWOT template is based on the work of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1155cc"/>
            <w:sz w:val="12"/>
            <w:szCs w:val="12"/>
            <w:u w:val="single"/>
            <w:rtl w:val="0"/>
          </w:rPr>
          <w:t xml:space="preserve"> Metzger et. Al (2012 )</w:t>
        </w:r>
      </w:hyperlink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 and</w:t>
      </w:r>
    </w:p>
    <w:p w:rsidR="00000000" w:rsidDel="00000000" w:rsidP="00000000" w:rsidRDefault="00000000" w:rsidRPr="00000000" w14:paraId="00000036">
      <w:pPr>
        <w:spacing w:line="276" w:lineRule="auto"/>
        <w:ind w:left="0" w:firstLine="0"/>
        <w:rPr>
          <w:i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         licensed under a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1155cc"/>
            <w:sz w:val="12"/>
            <w:szCs w:val="12"/>
            <w:u w:val="single"/>
            <w:rtl w:val="0"/>
          </w:rPr>
          <w:t xml:space="preserve">Creative Commons Attribution-ShareAlike 4.0</w:t>
        </w:r>
      </w:hyperlink>
      <w:r w:rsidDel="00000000" w:rsidR="00000000" w:rsidRPr="00000000">
        <w:rPr>
          <w:rFonts w:ascii="Arial" w:cs="Arial" w:eastAsia="Arial" w:hAnsi="Arial"/>
          <w:i w:val="1"/>
          <w:sz w:val="12"/>
          <w:szCs w:val="12"/>
          <w:rtl w:val="0"/>
        </w:rPr>
        <w:t xml:space="preserve">  International License</w:t>
      </w: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1906" w:w="16838" w:orient="landscape"/>
      <w:pgMar w:bottom="1440" w:top="1440" w:left="1440" w:right="1440" w:header="566.929133858267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ind w:hanging="709"/>
      <w:jc w:val="right"/>
      <w:rPr>
        <w:rFonts w:ascii="Calibri" w:cs="Calibri" w:eastAsia="Calibri" w:hAnsi="Calibri"/>
        <w:color w:val="0563c1"/>
        <w:sz w:val="16"/>
        <w:szCs w:val="16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6" name="image1.jp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1.jpg"/>
                  <pic:cNvPicPr preferRelativeResize="0"/>
                </pic:nvPicPr>
                <pic:blipFill>
                  <a:blip r:embed="rId1"/>
                  <a:srcRect b="12085" l="0" r="0" t="12087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</w:t>
    </w:r>
    <w:r w:rsidDel="00000000" w:rsidR="00000000" w:rsidRPr="00000000">
      <w:rPr>
        <w:rFonts w:ascii="Calibri" w:cs="Calibri" w:eastAsia="Calibri" w:hAnsi="Calibri"/>
        <w:color w:val="000000"/>
        <w:sz w:val="16"/>
        <w:szCs w:val="16"/>
        <w:rtl w:val="0"/>
      </w:rPr>
      <w:t xml:space="preserve">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16"/>
          <w:szCs w:val="16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b w:val="1"/>
        <w:sz w:val="48"/>
        <w:szCs w:val="48"/>
        <w:rtl w:val="0"/>
      </w:rPr>
      <w:t xml:space="preserve">Sustainability SWOT Analysis</w:t>
    </w:r>
    <w:r w:rsidDel="00000000" w:rsidR="00000000" w:rsidRPr="00000000">
      <w:rPr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 Template</w:t>
    </w:r>
  </w:p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creativecommons.org/licenses/by-sa/4.0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://pdf.wri.org/sustainability_swot_user_guide.pdf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https://www.ignitec.com/?utm_source=Freebies&amp;utm_medium=Sustainability_SWOT_Analysis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WblhQMYbkoey4acOxNJLDMXDg==">CgMxLjA4AHIhMXpLUDBsODRnRWcxTV9pdW5hTVpNZkVVM1NaRlZ2bndq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